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D56B00" w:rsidTr="00F83C6B">
        <w:tc>
          <w:tcPr>
            <w:tcW w:w="9288" w:type="dxa"/>
            <w:gridSpan w:val="2"/>
            <w:shd w:val="clear" w:color="auto" w:fill="FF0000"/>
          </w:tcPr>
          <w:p w:rsidR="001D6575" w:rsidRPr="00D56B00" w:rsidRDefault="001D6575" w:rsidP="00F83C6B">
            <w:pPr>
              <w:jc w:val="center"/>
              <w:rPr>
                <w:rFonts w:ascii="Arial" w:hAnsi="Arial" w:cs="Arial"/>
                <w:b/>
                <w:color w:val="FFFFFF"/>
                <w:sz w:val="36"/>
                <w:szCs w:val="36"/>
                <w:lang w:val="en-US"/>
              </w:rPr>
            </w:pPr>
            <w:r>
              <w:rPr>
                <w:rFonts w:ascii="Arial" w:hAnsi="Arial" w:cs="Arial"/>
                <w:b/>
                <w:bCs/>
                <w:color w:val="FFFFFF"/>
                <w:sz w:val="36"/>
                <w:szCs w:val="36"/>
                <w:lang w:val="ro"/>
              </w:rPr>
              <w:t>Instrucțiuni de operare</w:t>
            </w:r>
          </w:p>
          <w:p w:rsidR="001D6575" w:rsidRPr="00D56B00" w:rsidRDefault="001D6575" w:rsidP="00984DB3">
            <w:pPr>
              <w:jc w:val="center"/>
              <w:rPr>
                <w:rFonts w:ascii="Arial" w:hAnsi="Arial" w:cs="Arial"/>
                <w:color w:val="FFFFFF"/>
                <w:spacing w:val="14"/>
                <w:sz w:val="18"/>
                <w:szCs w:val="18"/>
                <w:shd w:val="clear" w:color="auto" w:fill="FE0000"/>
                <w:lang w:val="en-US"/>
              </w:rPr>
            </w:pPr>
            <w:r>
              <w:rPr>
                <w:rFonts w:ascii="Arial" w:hAnsi="Arial" w:cs="Arial"/>
                <w:color w:val="FFFFFF"/>
                <w:sz w:val="18"/>
                <w:szCs w:val="18"/>
                <w:shd w:val="clear" w:color="auto" w:fill="FE0000"/>
                <w:lang w:val="ro"/>
              </w:rPr>
              <w:t xml:space="preserve">conform § 14 GefStoffV (regulamentul privind materialele periculoase) </w:t>
            </w:r>
          </w:p>
        </w:tc>
      </w:tr>
      <w:tr w:rsidR="001D6575" w:rsidRPr="00F83C6B" w:rsidTr="00F83C6B">
        <w:tc>
          <w:tcPr>
            <w:tcW w:w="2025" w:type="dxa"/>
            <w:tcBorders>
              <w:bottom w:val="single" w:sz="4" w:space="0" w:color="auto"/>
            </w:tcBorders>
            <w:shd w:val="clear" w:color="auto" w:fill="auto"/>
          </w:tcPr>
          <w:p w:rsidR="001D6575" w:rsidRPr="00D56B00" w:rsidRDefault="001D6575" w:rsidP="00C839E1">
            <w:pPr>
              <w:rPr>
                <w:rFonts w:ascii="Arial" w:hAnsi="Arial" w:cs="Arial"/>
                <w:b/>
                <w:sz w:val="20"/>
                <w:szCs w:val="20"/>
                <w:lang w:val="en-US"/>
              </w:rPr>
            </w:pPr>
            <w:r w:rsidRPr="00D56B00">
              <w:rPr>
                <w:rFonts w:ascii="Arial" w:hAnsi="Arial" w:cs="Arial"/>
                <w:b/>
                <w:bCs/>
                <w:sz w:val="20"/>
                <w:szCs w:val="20"/>
                <w:lang w:val="ro"/>
              </w:rPr>
              <w:t>Domeniul de lucru:</w:t>
            </w:r>
          </w:p>
          <w:p w:rsidR="001D6575" w:rsidRPr="00D56B00" w:rsidRDefault="001D6575" w:rsidP="00C839E1">
            <w:pPr>
              <w:rPr>
                <w:rFonts w:ascii="Arial" w:hAnsi="Arial" w:cs="Arial"/>
                <w:b/>
                <w:sz w:val="20"/>
                <w:szCs w:val="20"/>
                <w:lang w:val="en-US"/>
              </w:rPr>
            </w:pPr>
            <w:r w:rsidRPr="00D56B00">
              <w:rPr>
                <w:rFonts w:ascii="Arial" w:hAnsi="Arial" w:cs="Arial"/>
                <w:b/>
                <w:bCs/>
                <w:sz w:val="20"/>
                <w:szCs w:val="20"/>
                <w:lang w:val="ro"/>
              </w:rPr>
              <w:t>Locul de muncă:</w:t>
            </w:r>
          </w:p>
          <w:p w:rsidR="001D6575" w:rsidRPr="00F83C6B" w:rsidRDefault="001D6575" w:rsidP="00C839E1">
            <w:pPr>
              <w:rPr>
                <w:rFonts w:ascii="Arial" w:hAnsi="Arial" w:cs="Arial"/>
              </w:rPr>
            </w:pPr>
            <w:r w:rsidRPr="00D56B00">
              <w:rPr>
                <w:rFonts w:ascii="Arial" w:hAnsi="Arial" w:cs="Arial"/>
                <w:b/>
                <w:bCs/>
                <w:sz w:val="20"/>
                <w:szCs w:val="20"/>
                <w:lang w:val="ro"/>
              </w:rPr>
              <w:t>Activitatea:</w:t>
            </w:r>
          </w:p>
        </w:tc>
        <w:tc>
          <w:tcPr>
            <w:tcW w:w="7263" w:type="dxa"/>
            <w:tcBorders>
              <w:bottom w:val="single" w:sz="4" w:space="0" w:color="auto"/>
            </w:tcBorders>
            <w:shd w:val="clear" w:color="auto" w:fill="auto"/>
          </w:tcPr>
          <w:p w:rsidR="001D6575" w:rsidRPr="00F83C6B" w:rsidRDefault="001D6575" w:rsidP="00C839E1">
            <w:pPr>
              <w:rPr>
                <w:rFonts w:ascii="Arial" w:hAnsi="Arial" w:cs="Arial"/>
              </w:rPr>
            </w:pP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ro"/>
              </w:rPr>
              <w:t>Denumirea materialului periculos</w:t>
            </w:r>
          </w:p>
        </w:tc>
      </w:tr>
      <w:tr w:rsidR="001D6575" w:rsidRPr="00F83C6B" w:rsidTr="00F83C6B">
        <w:tc>
          <w:tcPr>
            <w:tcW w:w="9288" w:type="dxa"/>
            <w:gridSpan w:val="2"/>
            <w:tcBorders>
              <w:bottom w:val="single" w:sz="4" w:space="0" w:color="auto"/>
            </w:tcBorders>
            <w:shd w:val="clear" w:color="auto" w:fill="auto"/>
          </w:tcPr>
          <w:p w:rsidR="001D6575" w:rsidRPr="00F83C6B" w:rsidRDefault="00984DB3" w:rsidP="00F83C6B">
            <w:pPr>
              <w:jc w:val="center"/>
              <w:rPr>
                <w:rFonts w:ascii="Arial" w:hAnsi="Arial" w:cs="Arial"/>
                <w:b/>
                <w:bCs/>
                <w:spacing w:val="2"/>
                <w:sz w:val="40"/>
                <w:szCs w:val="40"/>
              </w:rPr>
            </w:pPr>
            <w:r>
              <w:rPr>
                <w:rFonts w:ascii="Helvetica-Bold" w:hAnsi="Helvetica-Bold" w:cs="Helvetica-Bold"/>
                <w:b/>
                <w:bCs/>
                <w:sz w:val="40"/>
                <w:szCs w:val="40"/>
                <w:lang w:val="ro"/>
              </w:rPr>
              <w:t>Cleanet</w:t>
            </w:r>
            <w:r>
              <w:rPr>
                <w:rFonts w:ascii="Helvetica-Bold" w:hAnsi="Helvetica-Bold" w:cs="Helvetica-Bold"/>
                <w:b/>
                <w:bCs/>
                <w:sz w:val="40"/>
                <w:szCs w:val="40"/>
                <w:vertAlign w:val="superscript"/>
                <w:lang w:val="ro"/>
              </w:rPr>
              <w:t>®</w:t>
            </w:r>
            <w:r>
              <w:rPr>
                <w:rFonts w:ascii="Helvetica-Bold" w:hAnsi="Helvetica-Bold" w:cs="Helvetica-Bold"/>
                <w:b/>
                <w:bCs/>
                <w:sz w:val="40"/>
                <w:szCs w:val="40"/>
                <w:lang w:val="ro"/>
              </w:rPr>
              <w:t xml:space="preserve"> GR 11</w:t>
            </w:r>
          </w:p>
        </w:tc>
      </w:tr>
      <w:tr w:rsidR="001D6575" w:rsidRPr="00D56B00" w:rsidTr="00F83C6B">
        <w:tc>
          <w:tcPr>
            <w:tcW w:w="9288" w:type="dxa"/>
            <w:gridSpan w:val="2"/>
            <w:shd w:val="clear" w:color="auto" w:fill="FF0000"/>
          </w:tcPr>
          <w:p w:rsidR="001D6575" w:rsidRPr="00D56B00"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ro"/>
              </w:rPr>
              <w:t>Pericole pentru persoane și mediu</w:t>
            </w:r>
          </w:p>
        </w:tc>
      </w:tr>
      <w:tr w:rsidR="001D6575" w:rsidRPr="00F83C6B" w:rsidTr="00F83C6B">
        <w:trPr>
          <w:trHeight w:val="701"/>
        </w:trPr>
        <w:tc>
          <w:tcPr>
            <w:tcW w:w="2025" w:type="dxa"/>
            <w:tcBorders>
              <w:bottom w:val="single" w:sz="4" w:space="0" w:color="auto"/>
            </w:tcBorders>
            <w:shd w:val="clear" w:color="auto" w:fill="auto"/>
          </w:tcPr>
          <w:p w:rsidR="001E2CF2" w:rsidRPr="00D56B00" w:rsidRDefault="001E2CF2" w:rsidP="00984DB3">
            <w:pPr>
              <w:rPr>
                <w:rFonts w:ascii="Arial" w:hAnsi="Arial" w:cs="Arial"/>
                <w:lang w:val="en-US"/>
              </w:rPr>
            </w:pPr>
          </w:p>
        </w:tc>
        <w:tc>
          <w:tcPr>
            <w:tcW w:w="7263" w:type="dxa"/>
            <w:tcBorders>
              <w:bottom w:val="single" w:sz="4" w:space="0" w:color="auto"/>
            </w:tcBorders>
            <w:shd w:val="clear" w:color="auto" w:fill="auto"/>
          </w:tcPr>
          <w:p w:rsidR="001E2CF2" w:rsidRPr="00D56B00" w:rsidRDefault="001E2CF2" w:rsidP="00645973">
            <w:pPr>
              <w:rPr>
                <w:rFonts w:ascii="Arial" w:hAnsi="Arial" w:cs="Arial"/>
                <w:spacing w:val="2"/>
                <w:sz w:val="18"/>
                <w:szCs w:val="18"/>
                <w:lang w:val="en-US"/>
              </w:rPr>
            </w:pPr>
          </w:p>
          <w:p w:rsidR="001E2CF2" w:rsidRPr="00F83C6B" w:rsidRDefault="001E2CF2" w:rsidP="00645973">
            <w:pPr>
              <w:rPr>
                <w:rFonts w:ascii="Arial" w:hAnsi="Arial" w:cs="Arial"/>
                <w:spacing w:val="2"/>
                <w:sz w:val="18"/>
                <w:szCs w:val="18"/>
              </w:rPr>
            </w:pPr>
            <w:r>
              <w:rPr>
                <w:rFonts w:ascii="Arial" w:hAnsi="Arial" w:cs="Arial"/>
                <w:sz w:val="18"/>
                <w:szCs w:val="18"/>
                <w:lang w:val="ro"/>
              </w:rPr>
              <w:t>-</w:t>
            </w:r>
          </w:p>
        </w:tc>
      </w:tr>
      <w:tr w:rsidR="001D6575" w:rsidRPr="00D56B00" w:rsidTr="00F83C6B">
        <w:trPr>
          <w:trHeight w:val="248"/>
        </w:trPr>
        <w:tc>
          <w:tcPr>
            <w:tcW w:w="9288" w:type="dxa"/>
            <w:gridSpan w:val="2"/>
            <w:shd w:val="clear" w:color="auto" w:fill="FF0000"/>
          </w:tcPr>
          <w:p w:rsidR="001D6575" w:rsidRPr="00D56B00"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ro"/>
              </w:rPr>
              <w:t>Măsuri de protecție și reguli de comportament</w:t>
            </w:r>
          </w:p>
        </w:tc>
      </w:tr>
      <w:tr w:rsidR="001D6575" w:rsidRPr="00F83C6B" w:rsidTr="00F83C6B">
        <w:tc>
          <w:tcPr>
            <w:tcW w:w="2025" w:type="dxa"/>
            <w:tcBorders>
              <w:bottom w:val="single" w:sz="4" w:space="0" w:color="auto"/>
            </w:tcBorders>
            <w:shd w:val="clear" w:color="auto" w:fill="auto"/>
          </w:tcPr>
          <w:p w:rsidR="00AE17C9" w:rsidRDefault="00984DB3" w:rsidP="00AE17C9">
            <w:r>
              <w:rPr>
                <w:noProof/>
                <w:lang w:val="ro"/>
              </w:rPr>
              <w:drawing>
                <wp:inline distT="0" distB="0" distL="0" distR="0">
                  <wp:extent cx="523875" cy="523875"/>
                  <wp:effectExtent l="0" t="0" r="9525"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lang w:val="ro"/>
              </w:rPr>
              <w:drawing>
                <wp:inline distT="0" distB="0" distL="0" distR="0">
                  <wp:extent cx="514350" cy="51435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E17C9" w:rsidRDefault="00AE17C9" w:rsidP="00AE17C9">
            <w:pPr>
              <w:rPr>
                <w:noProof/>
              </w:rPr>
            </w:pPr>
          </w:p>
          <w:p w:rsidR="00232051" w:rsidRPr="00F83C6B" w:rsidRDefault="00984DB3" w:rsidP="00AE17C9">
            <w:pPr>
              <w:rPr>
                <w:rFonts w:ascii="Arial" w:hAnsi="Arial" w:cs="Arial"/>
              </w:rPr>
            </w:pPr>
            <w:r>
              <w:rPr>
                <w:noProof/>
                <w:lang w:val="ro"/>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984DB3" w:rsidP="00984DB3">
            <w:pPr>
              <w:jc w:val="both"/>
              <w:rPr>
                <w:rFonts w:ascii="Arial" w:hAnsi="Arial" w:cs="Arial"/>
                <w:spacing w:val="2"/>
                <w:sz w:val="20"/>
                <w:szCs w:val="20"/>
              </w:rPr>
            </w:pPr>
            <w:r>
              <w:rPr>
                <w:rFonts w:ascii="Arial" w:hAnsi="Arial" w:cs="Arial"/>
                <w:sz w:val="20"/>
                <w:szCs w:val="20"/>
                <w:lang w:val="ro"/>
              </w:rPr>
              <w:t>Asigurați o aerisire și ventilare corespunzătoare a locului de muncă. Nu fumați, nu consumați alimente sau băuturi la locurile de muncă și în depozite. Nu depozitați alimente, băuturi sau tutun la locul de muncă. Echipamente de protecție obligatorii: Ochelari sau măști de protecție. În cazul în care apar deranjamente, anunțați imediat superiorii. Efectuați reparațiile în mod corespunzător și cu grijă. Conductele trebuie complet golite. La transvazare evitați evaporarea sau stropirea. Transportați recipiente fragile care conțin substanța nu</w:t>
            </w:r>
            <w:bookmarkStart w:id="0" w:name="_GoBack"/>
            <w:bookmarkEnd w:id="0"/>
            <w:r>
              <w:rPr>
                <w:rFonts w:ascii="Arial" w:hAnsi="Arial" w:cs="Arial"/>
                <w:sz w:val="20"/>
                <w:szCs w:val="20"/>
                <w:lang w:val="ro"/>
              </w:rPr>
              <w:t>mai cu ajutorul unui recipient acoperitor (ex., o găleată de plastic cu mâner). Transvazați numai în recipiente curate și rezistente la alcalii.</w:t>
            </w:r>
          </w:p>
        </w:tc>
      </w:tr>
      <w:tr w:rsidR="001D6575" w:rsidRPr="00D56B00" w:rsidTr="00F83C6B">
        <w:tc>
          <w:tcPr>
            <w:tcW w:w="9288" w:type="dxa"/>
            <w:gridSpan w:val="2"/>
            <w:shd w:val="clear" w:color="auto" w:fill="FF0000"/>
          </w:tcPr>
          <w:p w:rsidR="001D6575" w:rsidRPr="00D56B00"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ro"/>
              </w:rPr>
              <w:t>Comportament în caz de pericol</w:t>
            </w:r>
          </w:p>
        </w:tc>
      </w:tr>
      <w:tr w:rsidR="001D6575" w:rsidRPr="00D56B00" w:rsidTr="00F83C6B">
        <w:tc>
          <w:tcPr>
            <w:tcW w:w="2025" w:type="dxa"/>
            <w:tcBorders>
              <w:bottom w:val="single" w:sz="4" w:space="0" w:color="auto"/>
            </w:tcBorders>
            <w:shd w:val="clear" w:color="auto" w:fill="auto"/>
          </w:tcPr>
          <w:p w:rsidR="009E4313" w:rsidRPr="00D56B00" w:rsidRDefault="009E4313" w:rsidP="00C839E1">
            <w:pPr>
              <w:rPr>
                <w:noProof/>
                <w:lang w:val="en-US"/>
              </w:rPr>
            </w:pPr>
          </w:p>
          <w:p w:rsidR="001D6575" w:rsidRPr="00D56B00" w:rsidRDefault="001D6575" w:rsidP="00C839E1">
            <w:pPr>
              <w:rPr>
                <w:rFonts w:ascii="Arial" w:hAnsi="Arial" w:cs="Arial"/>
                <w:lang w:val="en-US"/>
              </w:rPr>
            </w:pPr>
          </w:p>
        </w:tc>
        <w:tc>
          <w:tcPr>
            <w:tcW w:w="7263" w:type="dxa"/>
            <w:tcBorders>
              <w:bottom w:val="single" w:sz="4" w:space="0" w:color="auto"/>
            </w:tcBorders>
            <w:shd w:val="clear" w:color="auto" w:fill="auto"/>
          </w:tcPr>
          <w:p w:rsidR="00984DB3" w:rsidRPr="00D56B00" w:rsidRDefault="00984DB3" w:rsidP="00984DB3">
            <w:pPr>
              <w:jc w:val="both"/>
              <w:rPr>
                <w:rFonts w:ascii="Arial" w:hAnsi="Arial" w:cs="Arial"/>
                <w:spacing w:val="2"/>
                <w:sz w:val="20"/>
                <w:szCs w:val="20"/>
                <w:lang w:val="en-US"/>
              </w:rPr>
            </w:pPr>
            <w:r>
              <w:rPr>
                <w:rFonts w:ascii="Arial" w:hAnsi="Arial" w:cs="Arial"/>
                <w:sz w:val="20"/>
                <w:szCs w:val="20"/>
                <w:lang w:val="ro"/>
              </w:rPr>
              <w:t>În caz de stingere a incendiilor, urmați cu atenție instrucțiunile în vigoare.</w:t>
            </w:r>
          </w:p>
          <w:p w:rsidR="00984DB3" w:rsidRPr="00D56B00" w:rsidRDefault="00984DB3" w:rsidP="00984DB3">
            <w:pPr>
              <w:jc w:val="both"/>
              <w:rPr>
                <w:rFonts w:ascii="Arial" w:hAnsi="Arial" w:cs="Arial"/>
                <w:spacing w:val="2"/>
                <w:sz w:val="20"/>
                <w:szCs w:val="20"/>
                <w:lang w:val="en-US"/>
              </w:rPr>
            </w:pPr>
            <w:r>
              <w:rPr>
                <w:rFonts w:ascii="Arial" w:hAnsi="Arial"/>
                <w:sz w:val="20"/>
                <w:szCs w:val="20"/>
                <w:lang w:val="ro"/>
              </w:rPr>
              <w:t>Stingeți focurile mici cu un stingător cu CO2 sau cu pulbere sau cu jet de apă. Dacă este posibil,</w:t>
            </w:r>
            <w:r>
              <w:rPr>
                <w:lang w:val="ro"/>
              </w:rPr>
              <w:t xml:space="preserve"> </w:t>
            </w:r>
            <w:r>
              <w:rPr>
                <w:rFonts w:ascii="Arial" w:hAnsi="Arial"/>
                <w:sz w:val="20"/>
                <w:szCs w:val="20"/>
                <w:lang w:val="ro"/>
              </w:rPr>
              <w:t>diluați cu multă apă. Evitați inspirarea praful, vaporilor sau a fumului - utilizați dispozitivul de protecție respiratorie.</w:t>
            </w:r>
          </w:p>
          <w:p w:rsidR="001D6575" w:rsidRPr="00D56B00" w:rsidRDefault="00984DB3" w:rsidP="00984DB3">
            <w:pPr>
              <w:jc w:val="both"/>
              <w:rPr>
                <w:rFonts w:ascii="Arial" w:hAnsi="Arial" w:cs="Arial"/>
                <w:spacing w:val="2"/>
                <w:sz w:val="18"/>
                <w:szCs w:val="18"/>
                <w:lang w:val="en-US"/>
              </w:rPr>
            </w:pPr>
            <w:r>
              <w:rPr>
                <w:rFonts w:ascii="Arial" w:hAnsi="Arial" w:cs="Arial"/>
                <w:sz w:val="20"/>
                <w:szCs w:val="20"/>
                <w:lang w:val="ro"/>
              </w:rPr>
              <w:t>În cazul scurgerilor sau vărsării lichidelor, informați imediat superiorul sau conducerea întreprinderii.</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ro"/>
              </w:rPr>
              <w:t>Prim ajutor</w:t>
            </w:r>
          </w:p>
        </w:tc>
      </w:tr>
      <w:tr w:rsidR="00044630" w:rsidRPr="00F83C6B" w:rsidTr="00F83C6B">
        <w:tc>
          <w:tcPr>
            <w:tcW w:w="2025" w:type="dxa"/>
            <w:vMerge w:val="restart"/>
            <w:shd w:val="clear" w:color="auto" w:fill="auto"/>
          </w:tcPr>
          <w:p w:rsidR="00044630" w:rsidRPr="00F83C6B" w:rsidRDefault="00984DB3" w:rsidP="00C839E1">
            <w:pPr>
              <w:rPr>
                <w:rFonts w:ascii="Arial" w:hAnsi="Arial" w:cs="Arial"/>
              </w:rPr>
            </w:pPr>
            <w:r>
              <w:rPr>
                <w:noProof/>
                <w:lang w:val="ro"/>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984DB3" w:rsidRPr="00D56B00" w:rsidRDefault="00984DB3" w:rsidP="00984DB3">
            <w:pPr>
              <w:jc w:val="both"/>
              <w:rPr>
                <w:rFonts w:ascii="Arial" w:hAnsi="Arial" w:cs="Arial"/>
                <w:spacing w:val="2"/>
                <w:sz w:val="20"/>
                <w:szCs w:val="20"/>
                <w:lang w:val="ro"/>
              </w:rPr>
            </w:pPr>
            <w:r>
              <w:rPr>
                <w:rFonts w:ascii="Arial" w:hAnsi="Arial" w:cs="Arial"/>
                <w:sz w:val="20"/>
                <w:szCs w:val="20"/>
                <w:lang w:val="ro"/>
              </w:rPr>
              <w:t>Spălați pielea afectată bine cu apă și săpun. În cazul afectării extinse a pielii, clătiți imediat cu un duș de urgență și îndepărtați cu atenție</w:t>
            </w:r>
          </w:p>
          <w:p w:rsidR="00F54AD6" w:rsidRPr="00984DB3" w:rsidRDefault="00984DB3" w:rsidP="00984DB3">
            <w:pPr>
              <w:jc w:val="both"/>
              <w:rPr>
                <w:rFonts w:ascii="Arial" w:hAnsi="Arial" w:cs="Arial"/>
                <w:spacing w:val="2"/>
                <w:sz w:val="20"/>
                <w:szCs w:val="20"/>
              </w:rPr>
            </w:pPr>
            <w:r>
              <w:rPr>
                <w:rFonts w:ascii="Arial" w:hAnsi="Arial" w:cs="Arial"/>
                <w:sz w:val="20"/>
                <w:szCs w:val="20"/>
                <w:lang w:val="ro"/>
              </w:rPr>
              <w:t>îmbrăcămintea umedă. Apoi, clătiți pielea cu multă apă și, dacă este necesar, tratați-l cu un lichid de spălare, cum ar fi Previn. După arsură răciți pielea cu apă rece până când trece durerea. Nu bandajați arsurile feței și ale ochilor. Asigurați îngrijirea medicală. După contactul cu ochii spălați ochii imediat cu apă mai multe minute și anunțați superiorul. După primul ajutor în întreprindere, apelați la un oftalmolog. Dacă înghițiți, beți multă apă, dacă disponibil, cu adaos de cărbune activ. Preveniți voma pe cât posibil. Așezați persoana inconștientă în poziție laterală stabilă. Apelați sau mergeți la un medic. După inhalare, asigurați aer curat, odihnă și căldură. Apelați la un medic, dacă este necesar.</w:t>
            </w: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D56B00" w:rsidRDefault="00044630" w:rsidP="00F83C6B">
            <w:pPr>
              <w:jc w:val="both"/>
              <w:rPr>
                <w:rFonts w:ascii="Arial" w:hAnsi="Arial" w:cs="Arial"/>
                <w:b/>
                <w:bCs/>
                <w:sz w:val="18"/>
                <w:szCs w:val="18"/>
                <w:lang w:val="en-US"/>
              </w:rPr>
            </w:pPr>
            <w:r>
              <w:rPr>
                <w:rFonts w:ascii="Arial" w:hAnsi="Arial" w:cs="Arial"/>
                <w:b/>
                <w:bCs/>
                <w:sz w:val="18"/>
                <w:szCs w:val="18"/>
                <w:lang w:val="ro"/>
              </w:rPr>
              <w:t xml:space="preserve">În caz de urgență: </w:t>
            </w:r>
          </w:p>
          <w:p w:rsidR="00044630" w:rsidRPr="00D56B00" w:rsidRDefault="00044630" w:rsidP="00F83C6B">
            <w:pPr>
              <w:jc w:val="both"/>
              <w:rPr>
                <w:rFonts w:ascii="Arial" w:hAnsi="Arial" w:cs="Arial"/>
                <w:b/>
                <w:bCs/>
                <w:sz w:val="18"/>
                <w:szCs w:val="18"/>
                <w:lang w:val="en-US"/>
              </w:rPr>
            </w:pPr>
          </w:p>
          <w:p w:rsidR="00044630" w:rsidRPr="00D56B00" w:rsidRDefault="00044630" w:rsidP="00F83C6B">
            <w:pPr>
              <w:jc w:val="both"/>
              <w:rPr>
                <w:rFonts w:ascii="Arial" w:hAnsi="Arial" w:cs="Arial"/>
                <w:b/>
                <w:bCs/>
                <w:spacing w:val="-2"/>
                <w:sz w:val="18"/>
                <w:szCs w:val="18"/>
                <w:lang w:val="en-US"/>
              </w:rPr>
            </w:pPr>
            <w:r>
              <w:rPr>
                <w:rFonts w:ascii="Arial" w:hAnsi="Arial" w:cs="Arial"/>
                <w:b/>
                <w:bCs/>
                <w:sz w:val="18"/>
                <w:szCs w:val="18"/>
                <w:lang w:val="ro"/>
              </w:rPr>
              <w:t>Primul medic responsabil</w:t>
            </w:r>
          </w:p>
          <w:p w:rsidR="00044630" w:rsidRPr="00F83C6B" w:rsidRDefault="00044630" w:rsidP="00C839E1">
            <w:pPr>
              <w:rPr>
                <w:rFonts w:ascii="Arial" w:hAnsi="Arial" w:cs="Arial"/>
                <w:b/>
                <w:bCs/>
                <w:sz w:val="18"/>
                <w:szCs w:val="18"/>
              </w:rPr>
            </w:pPr>
            <w:r>
              <w:rPr>
                <w:rFonts w:ascii="Arial" w:hAnsi="Arial" w:cs="Arial"/>
                <w:b/>
                <w:bCs/>
                <w:sz w:val="18"/>
                <w:szCs w:val="18"/>
                <w:lang w:val="ro"/>
              </w:rPr>
              <w:t>Apel de urgență</w:t>
            </w:r>
          </w:p>
          <w:p w:rsidR="00044630" w:rsidRPr="00F83C6B" w:rsidRDefault="00044630" w:rsidP="00C839E1">
            <w:pPr>
              <w:rPr>
                <w:rFonts w:ascii="Arial" w:hAnsi="Arial" w:cs="Arial"/>
                <w:bCs/>
                <w:sz w:val="18"/>
                <w:szCs w:val="18"/>
              </w:rPr>
            </w:pPr>
            <w:r>
              <w:rPr>
                <w:rFonts w:ascii="Arial" w:hAnsi="Arial" w:cs="Arial"/>
                <w:b/>
                <w:bCs/>
                <w:sz w:val="18"/>
                <w:szCs w:val="18"/>
                <w:lang w:val="ro"/>
              </w:rPr>
              <w:t>Pompierii</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ro"/>
              </w:rPr>
              <w:t>eliminarea corespunzătoare</w:t>
            </w:r>
          </w:p>
        </w:tc>
      </w:tr>
      <w:tr w:rsidR="0048189E" w:rsidRPr="00D56B00" w:rsidTr="00F83C6B">
        <w:tc>
          <w:tcPr>
            <w:tcW w:w="2025" w:type="dxa"/>
            <w:vMerge w:val="restart"/>
            <w:shd w:val="clear" w:color="auto" w:fill="auto"/>
          </w:tcPr>
          <w:p w:rsidR="0048189E" w:rsidRPr="00F83C6B" w:rsidRDefault="00984DB3" w:rsidP="00C839E1">
            <w:pPr>
              <w:rPr>
                <w:rFonts w:ascii="Arial" w:hAnsi="Arial" w:cs="Arial"/>
              </w:rPr>
            </w:pPr>
            <w:r>
              <w:rPr>
                <w:rFonts w:ascii="Arial" w:hAnsi="Arial" w:cs="Arial"/>
                <w:noProof/>
                <w:lang w:val="ro"/>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F54AD6" w:rsidRPr="00D56B00" w:rsidRDefault="00984DB3" w:rsidP="00984DB3">
            <w:pPr>
              <w:autoSpaceDE w:val="0"/>
              <w:autoSpaceDN w:val="0"/>
              <w:adjustRightInd w:val="0"/>
              <w:spacing w:after="7" w:line="230" w:lineRule="exact"/>
              <w:rPr>
                <w:rFonts w:ascii="Arial" w:hAnsi="Arial" w:cs="Arial"/>
                <w:bCs/>
                <w:spacing w:val="-2"/>
                <w:sz w:val="18"/>
                <w:szCs w:val="18"/>
                <w:lang w:val="en-US"/>
              </w:rPr>
            </w:pPr>
            <w:r>
              <w:rPr>
                <w:rFonts w:ascii="Arial" w:hAnsi="Arial" w:cs="Arial"/>
                <w:sz w:val="20"/>
                <w:szCs w:val="20"/>
                <w:lang w:val="ro"/>
              </w:rPr>
              <w:t>Îndepărtați lichidul vărsat cu un liant universal adecvat și predați-l, la fel ca deșeurile, în recipiente sigilate la locul de colectare prevăzut, pentru a fi eliminat. Cantități mici pot fi diluate cu apă și pot ajunge în sistemul de canalizare.</w:t>
            </w:r>
          </w:p>
        </w:tc>
      </w:tr>
      <w:tr w:rsidR="0048189E" w:rsidRPr="00D56B00" w:rsidTr="00F83C6B">
        <w:tc>
          <w:tcPr>
            <w:tcW w:w="2025" w:type="dxa"/>
            <w:vMerge/>
            <w:shd w:val="clear" w:color="auto" w:fill="auto"/>
          </w:tcPr>
          <w:p w:rsidR="0048189E" w:rsidRPr="00D56B00" w:rsidRDefault="0048189E" w:rsidP="00C839E1">
            <w:pPr>
              <w:rPr>
                <w:rFonts w:ascii="Arial" w:hAnsi="Arial" w:cs="Arial"/>
                <w:lang w:val="en-US"/>
              </w:rPr>
            </w:pPr>
          </w:p>
        </w:tc>
        <w:tc>
          <w:tcPr>
            <w:tcW w:w="7263" w:type="dxa"/>
            <w:shd w:val="clear" w:color="auto" w:fill="auto"/>
          </w:tcPr>
          <w:p w:rsidR="0048189E" w:rsidRPr="00D56B00" w:rsidRDefault="0048189E" w:rsidP="00C839E1">
            <w:pPr>
              <w:rPr>
                <w:rFonts w:ascii="Arial" w:hAnsi="Arial" w:cs="Arial"/>
                <w:b/>
                <w:bCs/>
                <w:sz w:val="18"/>
                <w:szCs w:val="18"/>
                <w:lang w:val="en-US"/>
              </w:rPr>
            </w:pPr>
            <w:r>
              <w:rPr>
                <w:rFonts w:ascii="Arial" w:hAnsi="Arial" w:cs="Arial"/>
                <w:sz w:val="18"/>
                <w:szCs w:val="18"/>
                <w:lang w:val="ro"/>
              </w:rPr>
              <w:tab/>
            </w:r>
            <w:r>
              <w:rPr>
                <w:rFonts w:ascii="Arial" w:hAnsi="Arial" w:cs="Arial"/>
                <w:sz w:val="18"/>
                <w:szCs w:val="18"/>
                <w:lang w:val="ro"/>
              </w:rPr>
              <w:tab/>
            </w:r>
            <w:r>
              <w:rPr>
                <w:rFonts w:ascii="Arial" w:hAnsi="Arial" w:cs="Arial"/>
                <w:b/>
                <w:bCs/>
                <w:sz w:val="18"/>
                <w:szCs w:val="18"/>
                <w:lang w:val="ro"/>
              </w:rPr>
              <w:t>Executare</w:t>
            </w:r>
            <w:r>
              <w:rPr>
                <w:rFonts w:ascii="Arial" w:hAnsi="Arial" w:cs="Arial"/>
                <w:sz w:val="18"/>
                <w:szCs w:val="18"/>
                <w:lang w:val="ro"/>
              </w:rPr>
              <w:tab/>
            </w:r>
            <w:r>
              <w:rPr>
                <w:rFonts w:ascii="Arial" w:hAnsi="Arial" w:cs="Arial"/>
                <w:sz w:val="18"/>
                <w:szCs w:val="18"/>
                <w:lang w:val="ro"/>
              </w:rPr>
              <w:tab/>
            </w:r>
            <w:r>
              <w:rPr>
                <w:rFonts w:ascii="Arial" w:hAnsi="Arial" w:cs="Arial"/>
                <w:b/>
                <w:bCs/>
                <w:sz w:val="18"/>
                <w:szCs w:val="18"/>
                <w:lang w:val="ro"/>
              </w:rPr>
              <w:t>Verificare</w:t>
            </w:r>
            <w:r>
              <w:rPr>
                <w:rFonts w:ascii="Arial" w:hAnsi="Arial" w:cs="Arial"/>
                <w:sz w:val="18"/>
                <w:szCs w:val="18"/>
                <w:lang w:val="ro"/>
              </w:rPr>
              <w:tab/>
            </w:r>
            <w:r>
              <w:rPr>
                <w:rFonts w:ascii="Arial" w:hAnsi="Arial" w:cs="Arial"/>
                <w:sz w:val="18"/>
                <w:szCs w:val="18"/>
                <w:lang w:val="ro"/>
              </w:rPr>
              <w:tab/>
            </w:r>
            <w:r>
              <w:rPr>
                <w:rFonts w:ascii="Arial" w:hAnsi="Arial" w:cs="Arial"/>
                <w:b/>
                <w:bCs/>
                <w:sz w:val="18"/>
                <w:szCs w:val="18"/>
                <w:lang w:val="ro"/>
              </w:rPr>
              <w:t>Eliberare</w:t>
            </w:r>
          </w:p>
          <w:p w:rsidR="0048189E" w:rsidRPr="00D56B00" w:rsidRDefault="0048189E" w:rsidP="00C839E1">
            <w:pPr>
              <w:rPr>
                <w:rFonts w:ascii="Arial" w:hAnsi="Arial" w:cs="Arial"/>
                <w:b/>
                <w:bCs/>
                <w:sz w:val="18"/>
                <w:szCs w:val="18"/>
                <w:lang w:val="en-US"/>
              </w:rPr>
            </w:pPr>
            <w:r>
              <w:rPr>
                <w:rFonts w:ascii="Arial" w:hAnsi="Arial" w:cs="Arial"/>
                <w:b/>
                <w:bCs/>
                <w:sz w:val="18"/>
                <w:szCs w:val="18"/>
                <w:lang w:val="ro"/>
              </w:rPr>
              <w:t>Data</w:t>
            </w:r>
          </w:p>
          <w:p w:rsidR="0048189E" w:rsidRPr="00D56B00" w:rsidRDefault="0048189E" w:rsidP="00C839E1">
            <w:pPr>
              <w:rPr>
                <w:rFonts w:ascii="Arial" w:hAnsi="Arial" w:cs="Arial"/>
                <w:b/>
                <w:bCs/>
                <w:sz w:val="18"/>
                <w:szCs w:val="18"/>
                <w:lang w:val="en-US"/>
              </w:rPr>
            </w:pPr>
            <w:r>
              <w:rPr>
                <w:rFonts w:ascii="Arial" w:hAnsi="Arial" w:cs="Arial"/>
                <w:b/>
                <w:bCs/>
                <w:sz w:val="18"/>
                <w:szCs w:val="18"/>
                <w:lang w:val="ro"/>
              </w:rPr>
              <w:t>Numele</w:t>
            </w:r>
          </w:p>
          <w:p w:rsidR="0048189E" w:rsidRPr="00D56B00" w:rsidRDefault="0048189E" w:rsidP="00C839E1">
            <w:pPr>
              <w:rPr>
                <w:rFonts w:ascii="Arial" w:hAnsi="Arial" w:cs="Arial"/>
                <w:bCs/>
                <w:spacing w:val="-2"/>
                <w:sz w:val="18"/>
                <w:szCs w:val="18"/>
                <w:lang w:val="en-US"/>
              </w:rPr>
            </w:pPr>
            <w:r>
              <w:rPr>
                <w:rFonts w:ascii="Arial" w:hAnsi="Arial" w:cs="Arial"/>
                <w:b/>
                <w:bCs/>
                <w:sz w:val="18"/>
                <w:szCs w:val="18"/>
                <w:lang w:val="ro"/>
              </w:rPr>
              <w:t>Semnătura</w:t>
            </w:r>
          </w:p>
        </w:tc>
      </w:tr>
    </w:tbl>
    <w:p w:rsidR="00D664D0" w:rsidRPr="00D56B00" w:rsidRDefault="00D664D0" w:rsidP="00C839E1">
      <w:pPr>
        <w:rPr>
          <w:rFonts w:ascii="Arial" w:hAnsi="Arial" w:cs="Arial"/>
          <w:lang w:val="en-US"/>
        </w:rPr>
      </w:pPr>
    </w:p>
    <w:sectPr w:rsidR="00D664D0" w:rsidRPr="00D56B00"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B3"/>
    <w:rsid w:val="00044630"/>
    <w:rsid w:val="001477D0"/>
    <w:rsid w:val="001D6575"/>
    <w:rsid w:val="001E2CF2"/>
    <w:rsid w:val="001F58AF"/>
    <w:rsid w:val="00232051"/>
    <w:rsid w:val="00290FA6"/>
    <w:rsid w:val="003B1A62"/>
    <w:rsid w:val="003B4F1C"/>
    <w:rsid w:val="0048189E"/>
    <w:rsid w:val="004B4916"/>
    <w:rsid w:val="005B5D41"/>
    <w:rsid w:val="005F5D24"/>
    <w:rsid w:val="00645973"/>
    <w:rsid w:val="00674E04"/>
    <w:rsid w:val="00694DF9"/>
    <w:rsid w:val="006D16BE"/>
    <w:rsid w:val="006F163F"/>
    <w:rsid w:val="007237EE"/>
    <w:rsid w:val="00780741"/>
    <w:rsid w:val="00792B6B"/>
    <w:rsid w:val="0086037E"/>
    <w:rsid w:val="008A7C66"/>
    <w:rsid w:val="008F6C6B"/>
    <w:rsid w:val="00900F60"/>
    <w:rsid w:val="00984DB3"/>
    <w:rsid w:val="009C3CB5"/>
    <w:rsid w:val="009E4313"/>
    <w:rsid w:val="00A25BB7"/>
    <w:rsid w:val="00AE17C9"/>
    <w:rsid w:val="00B137C4"/>
    <w:rsid w:val="00B74AE7"/>
    <w:rsid w:val="00BF1FF8"/>
    <w:rsid w:val="00C839E1"/>
    <w:rsid w:val="00CF2C6C"/>
    <w:rsid w:val="00D56B00"/>
    <w:rsid w:val="00D664D0"/>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185BB-C6E5-4F0A-9FF7-85CF34FB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2</cp:revision>
  <cp:lastPrinted>2006-02-22T10:13:00Z</cp:lastPrinted>
  <dcterms:created xsi:type="dcterms:W3CDTF">2017-06-06T07:56:00Z</dcterms:created>
  <dcterms:modified xsi:type="dcterms:W3CDTF">2019-05-23T07:04:00Z</dcterms:modified>
</cp:coreProperties>
</file>